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962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27603" cy="99483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27603" cy="99483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088005" cy="100662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88005" cy="10066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36279296875" w:line="240" w:lineRule="auto"/>
        <w:ind w:left="21.240539550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Pedagogy Companion Research Summary: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5.480575561523438" w:right="81.6552734375" w:firstLine="6.47994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Excellence for 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Research from youth development and community schools show that holding high  expectations for all students to achieve excellence and providing support bolsters student engagement and  achievement. Evidence-based pedagogies that align with this principle include personalized instruction, use of  inclusive instructional design such as University Design for Learning (UDL), and opportunities for student  mastery of learning.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85546875" w:line="243.90214920043945" w:lineRule="auto"/>
        <w:ind w:left="22.679977416992188" w:right="259.156494140625" w:hanging="7.6794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Growth Mindset and Capacity Building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Findings from research in Deeper Learning, science of learning,  professional learning evaluations indicate that increasing knowledge of their own learning style through  reflection and practice enhances competency among educators and students. Recent evaluations of teacher  professional learning in civic education emphasizes the important of peer-support available in a cohort-style  professional learning can bolster outcomes.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3.90246391296387" w:lineRule="auto"/>
        <w:ind w:left="14.280548095703125" w:right="271.22802734375" w:firstLine="0.480041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Building an EAD-Ready Classroom and Schoo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Educators told us they need support from school leaders,  caregiver and community members to engage in rigorous and often courageous inquiries of EAD. School  climate and open classroom climate research backs up these insights from lived experience. Research  suggests that how students and adults relate, and how leadership support is explicitly given for instructional  practices are important levers of instructional shifts. In addition to supporting civic commitment, positive  school climate also increases academic engagement and student wellness, which raises achievement.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3.9023494720459" w:lineRule="auto"/>
        <w:ind w:left="14.28192138671875" w:right="50.406494140625" w:hanging="5.28137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Inquiry as the Primary Mode of Learning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EAD Roadmap, we recommend situating inquiry at the core of  all civic learning, with a wide range of strategies to support deep, multifaceted, and rigorous content-based  inquiry. Researchers find that inquiry-driven active learning version of the AP Government is just as effective  in achieving high level of student knowledge while inquiry-based learning strategies tend to increase students’  civic efficacy especially among minority students. In addition to content knowledge, students gain discipline  specific academic skills such as media literacy, historical thinking, and research and argumentation.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3.9023780822754" w:lineRule="auto"/>
        <w:ind w:left="15.480575561523438" w:right="9.649658203125" w:firstLine="0.47996520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Practice of Constitutional Democracy and Student Agency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in cognitive, memory, and  neuroscience makes it clear that knowledge must be used in ongoing application. Furthermore, that emotional  engagement, which happens when learning activity is seen as relevant, is a key ingredient of long-term  retention of knowledge and skills. A wide range of strategies can be used, such as planning and taking  informed action to address real-world challenges through service-learning, deliberation and classroom-based  decision-making to complete an inquiry and/or engage in civic life by using newly learned content and skills.  Community partners are invaluable resources as co-educators in these efforts.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02880859375" w:line="243.90246391296387" w:lineRule="auto"/>
        <w:ind w:left="8.520584106445312" w:right="0" w:firstLine="5.999984741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Assess, Reflect and Improve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EAD Pedagogy Guidance, instruction-embedded assessments are  positioned as a way to teach the content, solidify student learning, increase educator and student engagement  in shared goals of the instruction and continue to strive toward our commitment for “excellence for all.” In  that sense, this principle is a way for educators to engage in a continuous improvement process. Good  embedded assessments share common features, including transparency, relevance to students and the  curriculum, student voice and opportunities for reflection and revision, and strong support and training for  educators using the assessments.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Selected Bibliography: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3349609375" w:line="240" w:lineRule="auto"/>
        <w:ind w:left="14.04052734375" w:right="0" w:firstLine="0"/>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1. </w:t>
      </w:r>
      <w:r w:rsidDel="00000000" w:rsidR="00000000" w:rsidRPr="00000000">
        <w:rPr>
          <w:rFonts w:ascii="PT Sans Narrow" w:cs="PT Sans Narrow" w:eastAsia="PT Sans Narrow" w:hAnsi="PT Sans Narrow"/>
          <w:b w:val="1"/>
          <w:i w:val="0"/>
          <w:smallCaps w:val="0"/>
          <w:strike w:val="0"/>
          <w:color w:val="000000"/>
          <w:sz w:val="18"/>
          <w:szCs w:val="18"/>
          <w:u w:val="single"/>
          <w:shd w:fill="auto" w:val="clear"/>
          <w:vertAlign w:val="baseline"/>
          <w:rtl w:val="0"/>
        </w:rPr>
        <w:t xml:space="preserve">Excellence for All</w:t>
      </w: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0478515625" w:line="261.22901916503906" w:lineRule="auto"/>
        <w:ind w:left="726.3005828857422" w:right="833.77685546875" w:hanging="719.1000366210938"/>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The Education Hub (2018). How to Develop High Expectations. </w:t>
      </w:r>
      <w:r w:rsidDel="00000000" w:rsidR="00000000" w:rsidRPr="00000000">
        <w:rPr>
          <w:rFonts w:ascii="PT Sans Narrow" w:cs="PT Sans Narrow" w:eastAsia="PT Sans Narrow" w:hAnsi="PT Sans Narrow"/>
          <w:b w:val="0"/>
          <w:i w:val="0"/>
          <w:smallCaps w:val="0"/>
          <w:strike w:val="0"/>
          <w:color w:val="1155cc"/>
          <w:sz w:val="18"/>
          <w:szCs w:val="18"/>
          <w:u w:val="single"/>
          <w:shd w:fill="auto" w:val="clear"/>
          <w:vertAlign w:val="baseline"/>
          <w:rtl w:val="0"/>
        </w:rPr>
        <w:t xml:space="preserve">https://theeducationhub.org.nz/wp-content/uploads/2018/06/How-to-develop-high-expectations teaching.pdf</w:t>
      </w: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7626953125" w:line="240" w:lineRule="auto"/>
        <w:ind w:left="16.2005615234375" w:right="0" w:firstLine="0"/>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Nieto, Sonia (2017). Language, culture and teaching: Critical perspectives. Rutledge.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4169921875" w:line="240" w:lineRule="auto"/>
        <w:ind w:left="15.300521850585938" w:right="0" w:firstLine="0"/>
        <w:jc w:val="left"/>
        <w:rPr>
          <w:rFonts w:ascii="PT Sans Narrow" w:cs="PT Sans Narrow" w:eastAsia="PT Sans Narrow" w:hAnsi="PT Sans Narrow"/>
          <w:b w:val="1"/>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2. </w:t>
      </w:r>
      <w:r w:rsidDel="00000000" w:rsidR="00000000" w:rsidRPr="00000000">
        <w:rPr>
          <w:rFonts w:ascii="PT Sans Narrow" w:cs="PT Sans Narrow" w:eastAsia="PT Sans Narrow" w:hAnsi="PT Sans Narrow"/>
          <w:b w:val="1"/>
          <w:i w:val="0"/>
          <w:smallCaps w:val="0"/>
          <w:strike w:val="0"/>
          <w:color w:val="000000"/>
          <w:sz w:val="18"/>
          <w:szCs w:val="18"/>
          <w:u w:val="single"/>
          <w:shd w:fill="auto" w:val="clear"/>
          <w:vertAlign w:val="baseline"/>
          <w:rtl w:val="0"/>
        </w:rPr>
        <w:t xml:space="preserve">Growth Mindset and Capacity Building</w:t>
      </w: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92578125" w:line="258.49642753601074" w:lineRule="auto"/>
        <w:ind w:left="732.4205780029297" w:right="755.44189453125" w:hanging="716.2200164794922"/>
        <w:jc w:val="both"/>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Barr, Dennis. J., Beth Boulay, Robert L. Selman, Rachel McCormick, Ethan Lowenstein, Beth Gamse, Melinda Fine, and M. Brielle Leonard. 2015. “A Randomized  Controlled Trial of Professional Development for Interdisciplinary Civic Education: Impacts on Humanities Teachers and Their Students.” Teachers  College Record 117 (2): 1–52.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58.49708557128906" w:lineRule="auto"/>
        <w:ind w:left="16.200408935546875" w:right="925.830078125" w:firstLine="0"/>
        <w:jc w:val="center"/>
        <w:rPr>
          <w:rFonts w:ascii="PT Sans Narrow" w:cs="PT Sans Narrow" w:eastAsia="PT Sans Narrow" w:hAnsi="PT Sans Narrow"/>
          <w:b w:val="0"/>
          <w:i w:val="0"/>
          <w:smallCaps w:val="0"/>
          <w:strike w:val="0"/>
          <w:color w:val="1155cc"/>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Blackwell, Lisa S., Kali H. Trzesniewski, and Carol Sorich Dweck. 2007. “Implicit Theories of Intelligence Predict Achievement across an Adolescent Transition: A  Longitudinal Study and an Intervention.” Child Development 78 (1): 246–63. </w:t>
      </w:r>
      <w:r w:rsidDel="00000000" w:rsidR="00000000" w:rsidRPr="00000000">
        <w:rPr>
          <w:rFonts w:ascii="PT Sans Narrow" w:cs="PT Sans Narrow" w:eastAsia="PT Sans Narrow" w:hAnsi="PT Sans Narrow"/>
          <w:b w:val="0"/>
          <w:i w:val="0"/>
          <w:smallCaps w:val="0"/>
          <w:strike w:val="0"/>
          <w:color w:val="1155cc"/>
          <w:sz w:val="18"/>
          <w:szCs w:val="18"/>
          <w:u w:val="single"/>
          <w:shd w:fill="auto" w:val="clear"/>
          <w:vertAlign w:val="baseline"/>
          <w:rtl w:val="0"/>
        </w:rPr>
        <w:t xml:space="preserve">https://pubmed.ncbi.nlm.nih.gov/17328703/</w:t>
      </w:r>
      <w:r w:rsidDel="00000000" w:rsidR="00000000" w:rsidRPr="00000000">
        <w:rPr>
          <w:rFonts w:ascii="PT Sans Narrow" w:cs="PT Sans Narrow" w:eastAsia="PT Sans Narrow" w:hAnsi="PT Sans Narrow"/>
          <w:b w:val="0"/>
          <w:i w:val="0"/>
          <w:smallCaps w:val="0"/>
          <w:strike w:val="0"/>
          <w:color w:val="1155cc"/>
          <w:sz w:val="18"/>
          <w:szCs w:val="1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64453125" w:line="258.49708557128906" w:lineRule="auto"/>
        <w:ind w:left="735.4805755615234" w:right="49.732666015625" w:hanging="719.2800140380859"/>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Daneels, Mary Ellen, Kei Kawashima-Ginsberg, Shawn Healy. 2019. “From Paper to Practice: Lessons from the #CivicsIsBack Campaign.” Success in High-Need Schools Journal  15 (1): 58–67.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15234375" w:line="240" w:lineRule="auto"/>
        <w:ind w:left="16.200408935546875" w:right="0" w:firstLine="0"/>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Desimone, Laura M., and Michael Garet. 2015. “Best Practices in Teacher’s Professional Development in the United States.” Psychology, Society &amp; Education 7 (3): 252–63.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60107421875" w:line="240" w:lineRule="auto"/>
        <w:ind w:left="16.380538940429688" w:right="0" w:firstLine="0"/>
        <w:jc w:val="left"/>
        <w:rPr>
          <w:rFonts w:ascii="PT Sans Narrow" w:cs="PT Sans Narrow" w:eastAsia="PT Sans Narrow" w:hAnsi="PT Sans Narrow"/>
          <w:b w:val="1"/>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3. </w:t>
      </w:r>
      <w:r w:rsidDel="00000000" w:rsidR="00000000" w:rsidRPr="00000000">
        <w:rPr>
          <w:rFonts w:ascii="PT Sans Narrow" w:cs="PT Sans Narrow" w:eastAsia="PT Sans Narrow" w:hAnsi="PT Sans Narrow"/>
          <w:b w:val="1"/>
          <w:i w:val="0"/>
          <w:smallCaps w:val="0"/>
          <w:strike w:val="0"/>
          <w:color w:val="000000"/>
          <w:sz w:val="18"/>
          <w:szCs w:val="18"/>
          <w:u w:val="single"/>
          <w:shd w:fill="auto" w:val="clear"/>
          <w:vertAlign w:val="baseline"/>
          <w:rtl w:val="0"/>
        </w:rPr>
        <w:t xml:space="preserve">Building an EAD-Ready Classroom and Schoo</w:t>
      </w: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0478515625" w:line="258.49642753601074" w:lineRule="auto"/>
        <w:ind w:left="719.8206329345703" w:right="1156.318359375" w:hanging="703.6200714111328"/>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Bridgeland, John, Mary Bruce, and Arya Hariharan. 2013. The Missing Piece: A National Teacher Survey on how Social and Emotional Learning Can Empower  Children and Transform Schools. Report for CASEL by Civic Enterprises with Peter D. Hart Research Associates. https://files.eric.ed.gov/ fulltext  /ED558068.pdf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58.49642753601074" w:lineRule="auto"/>
        <w:ind w:left="733.3205413818359" w:right="1149.083251953125" w:hanging="720.8999633789062"/>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Campbell, David E. 2008. “Voice in the Classroom: How an Open Classroom Climate Fosters Political Engagement among Adolescents.” Political Behavior 30  (4): 437–54.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58.49708557128906" w:lineRule="auto"/>
        <w:ind w:left="732.4204254150391" w:right="1105.054931640625" w:hanging="720"/>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Cohen, Jonathan, Libby McCabe, Nicholas M. Michelli, and Terry Pickeral. 2009. “School Climate: Research, Policy, Practice, and Teacher Education.” Teachers  College Record 111 (1): 180–213. http://www.tcrecord.org/Content .asp?ContentId=15220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7626953125" w:line="259.354190826416" w:lineRule="auto"/>
        <w:ind w:left="16.019973754882812" w:right="1018.936767578125" w:hanging="0.1805877685546875"/>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Darling-Hammond, Linda, and Channa M. Cook-Harvey. 2018. Educating the Whole Child: Improving School Climate to Support Student Success. Report,  Learning Policy Institute, September 2018. </w:t>
      </w:r>
      <w:r w:rsidDel="00000000" w:rsidR="00000000" w:rsidRPr="00000000">
        <w:rPr>
          <w:rFonts w:ascii="PT Sans Narrow" w:cs="PT Sans Narrow" w:eastAsia="PT Sans Narrow" w:hAnsi="PT Sans Narrow"/>
          <w:b w:val="0"/>
          <w:i w:val="0"/>
          <w:smallCaps w:val="0"/>
          <w:strike w:val="0"/>
          <w:color w:val="1155cc"/>
          <w:sz w:val="18"/>
          <w:szCs w:val="18"/>
          <w:u w:val="single"/>
          <w:shd w:fill="auto" w:val="clear"/>
          <w:vertAlign w:val="baseline"/>
          <w:rtl w:val="0"/>
        </w:rPr>
        <w:t xml:space="preserve">https://learningpolicyinstitute.org/sites/default/files/product-files/Educating_Whole_Child_REPORT.pdf</w:t>
      </w: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 Flanagan, C. A., Cumsille, P., Gill, S., &amp; Gallay, L. S. (2007). School and community climates and civic commitments: Patterns for ethnic minority and majority  students. Journal of Educational Psychology, 99(2), 421-431.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43896484375" w:line="258.49708557128906" w:lineRule="auto"/>
        <w:ind w:left="725.7604217529297" w:right="983.731689453125" w:hanging="725.7604217529297"/>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Jagers, R. J., Lozada, F. T., Rivas</w:t>
      </w:r>
      <w:r w:rsidDel="00000000" w:rsidR="00000000" w:rsidRPr="00000000">
        <w:rPr>
          <w:rFonts w:ascii="Cambria Math" w:cs="Cambria Math" w:eastAsia="Cambria Math" w:hAnsi="Cambria Math"/>
          <w:b w:val="0"/>
          <w:i w:val="0"/>
          <w:smallCaps w:val="0"/>
          <w:strike w:val="0"/>
          <w:color w:val="000000"/>
          <w:sz w:val="18"/>
          <w:szCs w:val="18"/>
          <w:u w:val="none"/>
          <w:shd w:fill="auto" w:val="clear"/>
          <w:vertAlign w:val="baseline"/>
          <w:rtl w:val="0"/>
        </w:rPr>
        <w:t xml:space="preserve">‐</w:t>
      </w: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Drake, D., &amp; Guillaume, C. (2017). Classroom and school predictors of civic engagement among Black and Latino middle school  youth. Child Development, 88(4), 1125-1138.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71875" w:line="258.5635185241699" w:lineRule="auto"/>
        <w:ind w:left="734.5806121826172" w:right="822.430419921875" w:hanging="727.3800659179688"/>
        <w:jc w:val="left"/>
        <w:rPr>
          <w:rFonts w:ascii="PT Sans Narrow" w:cs="PT Sans Narrow" w:eastAsia="PT Sans Narrow" w:hAnsi="PT Sans Narrow"/>
          <w:b w:val="0"/>
          <w:i w:val="0"/>
          <w:smallCaps w:val="0"/>
          <w:strike w:val="0"/>
          <w:color w:val="2c72b7"/>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333333"/>
          <w:sz w:val="18"/>
          <w:szCs w:val="18"/>
          <w:highlight w:val="white"/>
          <w:u w:val="none"/>
          <w:vertAlign w:val="baseline"/>
          <w:rtl w:val="0"/>
        </w:rPr>
        <w:t xml:space="preserve">Torney-Purta, J. (2002). The school's role in developing civic engagement: A study of adolescents in twenty-eight countries. Applied Developmental Science, 6(4),</w:t>
      </w:r>
      <w:r w:rsidDel="00000000" w:rsidR="00000000" w:rsidRPr="00000000">
        <w:rPr>
          <w:rFonts w:ascii="PT Sans Narrow" w:cs="PT Sans Narrow" w:eastAsia="PT Sans Narrow" w:hAnsi="PT Sans Narrow"/>
          <w:b w:val="0"/>
          <w:i w:val="0"/>
          <w:smallCaps w:val="0"/>
          <w:strike w:val="0"/>
          <w:color w:val="333333"/>
          <w:sz w:val="18"/>
          <w:szCs w:val="18"/>
          <w:u w:val="none"/>
          <w:shd w:fill="auto" w:val="clear"/>
          <w:vertAlign w:val="baseline"/>
          <w:rtl w:val="0"/>
        </w:rPr>
        <w:t xml:space="preserve">  </w:t>
      </w:r>
      <w:r w:rsidDel="00000000" w:rsidR="00000000" w:rsidRPr="00000000">
        <w:rPr>
          <w:rFonts w:ascii="PT Sans Narrow" w:cs="PT Sans Narrow" w:eastAsia="PT Sans Narrow" w:hAnsi="PT Sans Narrow"/>
          <w:b w:val="0"/>
          <w:i w:val="0"/>
          <w:smallCaps w:val="0"/>
          <w:strike w:val="0"/>
          <w:color w:val="333333"/>
          <w:sz w:val="18"/>
          <w:szCs w:val="18"/>
          <w:highlight w:val="white"/>
          <w:u w:val="none"/>
          <w:vertAlign w:val="baseline"/>
          <w:rtl w:val="0"/>
        </w:rPr>
        <w:t xml:space="preserve">203–212. </w:t>
      </w:r>
      <w:r w:rsidDel="00000000" w:rsidR="00000000" w:rsidRPr="00000000">
        <w:rPr>
          <w:rFonts w:ascii="PT Sans Narrow" w:cs="PT Sans Narrow" w:eastAsia="PT Sans Narrow" w:hAnsi="PT Sans Narrow"/>
          <w:b w:val="0"/>
          <w:i w:val="0"/>
          <w:smallCaps w:val="0"/>
          <w:strike w:val="0"/>
          <w:color w:val="2c72b7"/>
          <w:sz w:val="18"/>
          <w:szCs w:val="18"/>
          <w:highlight w:val="white"/>
          <w:u w:val="none"/>
          <w:vertAlign w:val="baseline"/>
          <w:rtl w:val="0"/>
        </w:rPr>
        <w:t xml:space="preserve">https://doi.org/10.1207/S1532480XADS0604_7</w:t>
      </w:r>
      <w:r w:rsidDel="00000000" w:rsidR="00000000" w:rsidRPr="00000000">
        <w:rPr>
          <w:rFonts w:ascii="PT Sans Narrow" w:cs="PT Sans Narrow" w:eastAsia="PT Sans Narrow" w:hAnsi="PT Sans Narrow"/>
          <w:b w:val="0"/>
          <w:i w:val="0"/>
          <w:smallCaps w:val="0"/>
          <w:strike w:val="0"/>
          <w:color w:val="2c72b7"/>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0" w:lineRule="auto"/>
        <w:ind w:left="7.7405548095703125" w:right="0" w:firstLine="0"/>
        <w:jc w:val="left"/>
        <w:rPr>
          <w:rFonts w:ascii="PT Sans Narrow" w:cs="PT Sans Narrow" w:eastAsia="PT Sans Narrow" w:hAnsi="PT Sans Narrow"/>
          <w:b w:val="1"/>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4. </w:t>
      </w:r>
      <w:r w:rsidDel="00000000" w:rsidR="00000000" w:rsidRPr="00000000">
        <w:rPr>
          <w:rFonts w:ascii="PT Sans Narrow" w:cs="PT Sans Narrow" w:eastAsia="PT Sans Narrow" w:hAnsi="PT Sans Narrow"/>
          <w:b w:val="1"/>
          <w:i w:val="0"/>
          <w:smallCaps w:val="0"/>
          <w:strike w:val="0"/>
          <w:color w:val="000000"/>
          <w:sz w:val="18"/>
          <w:szCs w:val="18"/>
          <w:u w:val="single"/>
          <w:shd w:fill="auto" w:val="clear"/>
          <w:vertAlign w:val="baseline"/>
          <w:rtl w:val="0"/>
        </w:rPr>
        <w:t xml:space="preserve">Inquiry as the Primary Mode of Learning</w:t>
      </w: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0478515625" w:line="258.49642753601074" w:lineRule="auto"/>
        <w:ind w:left="736.2004852294922" w:right="153.551025390625" w:hanging="723.7799072265625"/>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Chen, C. H., &amp; Yang, Y. C. (2019). Revisiting the effects of project-based learning on students’ academic achievement: A meta-analysis investigating moderators. Educational  Research Review, 26, 71-81.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58.49642753601074" w:lineRule="auto"/>
        <w:ind w:left="735.1799774169922" w:right="21.01806640625" w:hanging="722.6995849609375"/>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Cohen, A. K., Littenberg-Tobias, J., Ridley-Kerr, A., Pope, A., Stolte, L. C., &amp; Wong, K. K. (2018). Action civics education and civic outcomes for urban youth: An evaluation of the  impact of Generation Citizen. Citizenship Teaching &amp; Learning, 13(3), 351-368.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16.2005615234375" w:right="0" w:firstLine="0"/>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Mehta, J., &amp; Fine, S. (2019). In search of deeper learning: The quest to remake the American high school. Harvard University Press.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9677734375" w:line="258.49708557128906" w:lineRule="auto"/>
        <w:ind w:left="736.1400604248047" w:right="1499.4232177734375" w:hanging="719.9999237060547"/>
        <w:jc w:val="left"/>
        <w:rPr>
          <w:rFonts w:ascii="PT Sans Narrow" w:cs="PT Sans Narrow" w:eastAsia="PT Sans Narrow" w:hAnsi="PT Sans Narrow"/>
          <w:b w:val="0"/>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National Research Council. 2000. How People Learn: Brain, Mind, Experience, and School: Expanded Edition. Washington, DC: The National Academies  Press.</w:t>
      </w:r>
      <w:r w:rsidDel="00000000" w:rsidR="00000000" w:rsidRPr="00000000">
        <w:rPr>
          <w:rFonts w:ascii="PT Sans Narrow" w:cs="PT Sans Narrow" w:eastAsia="PT Sans Narrow" w:hAnsi="PT Sans Narrow"/>
          <w:b w:val="0"/>
          <w:i w:val="0"/>
          <w:smallCaps w:val="0"/>
          <w:strike w:val="0"/>
          <w:color w:val="1155cc"/>
          <w:sz w:val="18"/>
          <w:szCs w:val="18"/>
          <w:u w:val="single"/>
          <w:shd w:fill="auto" w:val="clear"/>
          <w:vertAlign w:val="baseline"/>
          <w:rtl w:val="0"/>
        </w:rPr>
        <w:t xml:space="preserve">https://doi.org/10.17226/9853</w:t>
      </w: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71875" w:line="258.49642753601074" w:lineRule="auto"/>
        <w:ind w:left="734.5806121826172" w:right="966.724853515625" w:hanging="718.3800506591797"/>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Parker, Walter C., Sheila W. Valencia, and Jane C. Lo. 2017. “Teaching for Deeper Political Learning: A Design Experiment.” Journal of Curriculum Studies 50 (2):  252–77. https://doi.org/10.1080/00220272.2017.1343386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276123046875" w:line="240" w:lineRule="auto"/>
        <w:ind w:left="14.940567016601562" w:right="0" w:firstLine="0"/>
        <w:jc w:val="left"/>
        <w:rPr>
          <w:rFonts w:ascii="PT Sans Narrow" w:cs="PT Sans Narrow" w:eastAsia="PT Sans Narrow" w:hAnsi="PT Sans Narrow"/>
          <w:b w:val="1"/>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5. </w:t>
      </w:r>
      <w:r w:rsidDel="00000000" w:rsidR="00000000" w:rsidRPr="00000000">
        <w:rPr>
          <w:rFonts w:ascii="PT Sans Narrow" w:cs="PT Sans Narrow" w:eastAsia="PT Sans Narrow" w:hAnsi="PT Sans Narrow"/>
          <w:b w:val="1"/>
          <w:i w:val="0"/>
          <w:smallCaps w:val="0"/>
          <w:strike w:val="0"/>
          <w:color w:val="000000"/>
          <w:sz w:val="18"/>
          <w:szCs w:val="18"/>
          <w:u w:val="single"/>
          <w:shd w:fill="auto" w:val="clear"/>
          <w:vertAlign w:val="baseline"/>
          <w:rtl w:val="0"/>
        </w:rPr>
        <w:t xml:space="preserve">Practice of Constitutional Democracy and Student Agency</w:t>
      </w: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98681640625" w:line="258.5189151763916" w:lineRule="auto"/>
        <w:ind w:left="16.2005615234375" w:right="1269.5556640625" w:firstLine="0"/>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Mooney et al., (2021). “Neural dynamics underlying birdsong practice and performance.” Nature 599, 635-639, 20 October, 2021. See summary </w:t>
      </w:r>
      <w:r w:rsidDel="00000000" w:rsidR="00000000" w:rsidRPr="00000000">
        <w:rPr>
          <w:rFonts w:ascii="PT Sans Narrow" w:cs="PT Sans Narrow" w:eastAsia="PT Sans Narrow" w:hAnsi="PT Sans Narrow"/>
          <w:b w:val="0"/>
          <w:i w:val="0"/>
          <w:smallCaps w:val="0"/>
          <w:strike w:val="0"/>
          <w:color w:val="1155cc"/>
          <w:sz w:val="18"/>
          <w:szCs w:val="18"/>
          <w:u w:val="single"/>
          <w:shd w:fill="auto" w:val="clear"/>
          <w:vertAlign w:val="baseline"/>
          <w:rtl w:val="0"/>
        </w:rPr>
        <w:t xml:space="preserve">here</w:t>
      </w:r>
      <w:r w:rsidDel="00000000" w:rsidR="00000000" w:rsidRPr="00000000">
        <w:rPr>
          <w:rFonts w:ascii="PT Sans Narrow" w:cs="PT Sans Narrow" w:eastAsia="PT Sans Narrow" w:hAnsi="PT Sans Narrow"/>
          <w:b w:val="0"/>
          <w:i w:val="0"/>
          <w:smallCaps w:val="0"/>
          <w:strike w:val="0"/>
          <w:color w:val="000000"/>
          <w:sz w:val="18"/>
          <w:szCs w:val="18"/>
          <w:u w:val="none"/>
          <w:shd w:fill="auto" w:val="clear"/>
          <w:vertAlign w:val="baseline"/>
          <w:rtl w:val="0"/>
        </w:rPr>
        <w:t xml:space="preserve">.  </w:t>
      </w: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Farrington, Camille A. et al (2012). Teaching Adolescents to Become Learners: The Role of Noncognitive Factors in Shaping School Performance; A Critical  Literature Review. Report, University of Chicago Consortium on Chicago School Research. https://www.greatschoolspartnership .org/wp content/uploads/2016/11/Teaching- Adolescents-to-Become-Learners.pdf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58837890625" w:line="261.2954521179199" w:lineRule="auto"/>
        <w:ind w:left="735.8406829833984" w:right="1321.036376953125" w:hanging="728.8197326660156"/>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Terada, Youki. 2017. “How Metacognition Boosts Learning.” Edutopia, November 21, 2017. https ://www.edutopia.org/article/how-metacognition- boosts learning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867919921875" w:line="258.49674224853516" w:lineRule="auto"/>
        <w:ind w:left="735.1204681396484" w:right="1497.867431640625" w:hanging="724.8597717285156"/>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Serriere, Stephanie C. 2010. “Carpet-Time Democracy: Digital Photography and Social Consciousness in the Early Childhood Classroom.” Social Studies  101 (2): 60–68.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0736083984375" w:line="240" w:lineRule="auto"/>
        <w:ind w:left="12.420578002929688" w:right="0" w:firstLine="0"/>
        <w:jc w:val="left"/>
        <w:rPr>
          <w:rFonts w:ascii="PT Sans Narrow" w:cs="PT Sans Narrow" w:eastAsia="PT Sans Narrow" w:hAnsi="PT Sans Narrow"/>
          <w:b w:val="1"/>
          <w:i w:val="0"/>
          <w:smallCaps w:val="0"/>
          <w:strike w:val="0"/>
          <w:color w:val="000000"/>
          <w:sz w:val="18"/>
          <w:szCs w:val="18"/>
          <w:u w:val="none"/>
          <w:shd w:fill="auto" w:val="clear"/>
          <w:vertAlign w:val="baseline"/>
        </w:rPr>
      </w:pP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6. </w:t>
      </w:r>
      <w:r w:rsidDel="00000000" w:rsidR="00000000" w:rsidRPr="00000000">
        <w:rPr>
          <w:rFonts w:ascii="PT Sans Narrow" w:cs="PT Sans Narrow" w:eastAsia="PT Sans Narrow" w:hAnsi="PT Sans Narrow"/>
          <w:b w:val="1"/>
          <w:i w:val="0"/>
          <w:smallCaps w:val="0"/>
          <w:strike w:val="0"/>
          <w:color w:val="000000"/>
          <w:sz w:val="18"/>
          <w:szCs w:val="18"/>
          <w:u w:val="single"/>
          <w:shd w:fill="auto" w:val="clear"/>
          <w:vertAlign w:val="baseline"/>
          <w:rtl w:val="0"/>
        </w:rPr>
        <w:t xml:space="preserve">Assess, Reflect and Improve</w:t>
      </w:r>
      <w:r w:rsidDel="00000000" w:rsidR="00000000" w:rsidRPr="00000000">
        <w:rPr>
          <w:rFonts w:ascii="PT Sans Narrow" w:cs="PT Sans Narrow" w:eastAsia="PT Sans Narrow" w:hAnsi="PT Sans Narrow"/>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956298828125" w:line="240" w:lineRule="auto"/>
        <w:ind w:left="12.420578002929688" w:right="0" w:firstLine="0"/>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Clark, A.K &amp; Karvonenm M. (2021). Instructionally embedded assessment: Theory of action for an innovative system.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00537109375" w:line="240" w:lineRule="auto"/>
        <w:ind w:left="16.2005615234375" w:right="0" w:firstLine="0"/>
        <w:jc w:val="left"/>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Front. Educ., 26 October 2021 | https://doi.org/10.3389/feduc.2021.724938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00537109375" w:line="258.4965705871582" w:lineRule="auto"/>
        <w:ind w:left="10.44097900390625" w:right="1486.168212890625" w:firstLine="0"/>
        <w:jc w:val="center"/>
        <w:rPr>
          <w:rFonts w:ascii="PT Sans Narrow" w:cs="PT Sans Narrow" w:eastAsia="PT Sans Narrow" w:hAnsi="PT Sans Narrow"/>
          <w:b w:val="0"/>
          <w:i w:val="0"/>
          <w:smallCaps w:val="0"/>
          <w:strike w:val="0"/>
          <w:color w:val="231f20"/>
          <w:sz w:val="18"/>
          <w:szCs w:val="18"/>
          <w:u w:val="none"/>
          <w:shd w:fill="auto" w:val="clear"/>
          <w:vertAlign w:val="baseline"/>
        </w:rPr>
      </w:pPr>
      <w:r w:rsidDel="00000000" w:rsidR="00000000" w:rsidRPr="00000000">
        <w:rPr>
          <w:rFonts w:ascii="PT Sans Narrow" w:cs="PT Sans Narrow" w:eastAsia="PT Sans Narrow" w:hAnsi="PT Sans Narrow"/>
          <w:b w:val="0"/>
          <w:i w:val="0"/>
          <w:smallCaps w:val="0"/>
          <w:strike w:val="0"/>
          <w:color w:val="231f20"/>
          <w:sz w:val="18"/>
          <w:szCs w:val="18"/>
          <w:u w:val="none"/>
          <w:shd w:fill="auto" w:val="clear"/>
          <w:vertAlign w:val="baseline"/>
          <w:rtl w:val="0"/>
        </w:rPr>
        <w:t xml:space="preserve">Shavelson, Richard, et al. (2008). On the Impact of Curriculum-Embedded Formative Assessment on Learning: A Collaboration between Curriculum and  Assessment Developers, Applied Measurement in Education, 21:4, 295-314, DOI: 10.1080/08957340802347647.</w:t>
      </w:r>
    </w:p>
    <w:sectPr>
      <w:pgSz w:h="15840" w:w="12240" w:orient="portrait"/>
      <w:pgMar w:bottom="1216.7997741699219" w:top="0" w:left="715.3194427490234" w:right="665.803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PT Sans Narrow">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